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embeddings/oleObject4.xlsx" ContentType="application/vnd.openxmlformats-officedocument.spreadsheetml.sheet"/>
  <Override PartName="/word/embeddings/oleObject3.xlsx" ContentType="application/vnd.openxmlformats-officedocument.spreadsheetml.sheet"/>
  <Override PartName="/word/embeddings/oleObject1.xlsx" ContentType="application/vnd.openxmlformats-officedocument.spreadsheetml.sheet"/>
  <Override PartName="/word/embeddings/oleObject2.xlsx" ContentType="application/vnd.openxmlformats-officedocument.spreadsheetml.sheet"/>
  <Override PartName="/word/media/image4.emf" ContentType="image/x-emf"/>
  <Override PartName="/word/media/image3.emf" ContentType="image/x-emf"/>
  <Override PartName="/word/media/image1.emf" ContentType="image/x-emf"/>
  <Override PartName="/word/media/image2.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DITTA BASE SRL</w:t>
      </w:r>
    </w:p>
    <w:p>
      <w:pPr>
        <w:pStyle w:val="Normal"/>
        <w:jc w:val="center"/>
        <w:rPr/>
      </w:pPr>
      <w:r>
        <w:rPr/>
        <w:t>CAPITALE SOCIALE 50.000 I.V.</w:t>
      </w:r>
    </w:p>
    <w:p>
      <w:pPr>
        <w:pStyle w:val="Normal"/>
        <w:jc w:val="center"/>
        <w:rPr/>
      </w:pPr>
      <w:r>
        <w:rPr/>
        <w:t>SEDE VENEZIA VIA DEL COMMERCIO 34</w:t>
      </w:r>
    </w:p>
    <w:p>
      <w:pPr>
        <w:pStyle w:val="Normal"/>
        <w:jc w:val="center"/>
        <w:rPr/>
      </w:pPr>
      <w:r>
        <w:rPr/>
        <w:t>CODICE FISCALE 87986543152</w:t>
      </w:r>
    </w:p>
    <w:p>
      <w:pPr>
        <w:pStyle w:val="Normal"/>
        <w:jc w:val="center"/>
        <w:rPr/>
      </w:pPr>
      <w:r>
        <w:rPr/>
        <w:t>REGISTRO IMPRESE DI VENEZIA NR REA 789543</w:t>
      </w:r>
    </w:p>
    <w:p>
      <w:pPr>
        <w:pStyle w:val="Normal"/>
        <w:jc w:val="center"/>
        <w:rPr/>
      </w:pPr>
      <w:r>
        <w:rPr/>
      </w:r>
    </w:p>
    <w:p>
      <w:pPr>
        <w:pStyle w:val="Normal"/>
        <w:jc w:val="center"/>
        <w:rPr>
          <w:b/>
          <w:b/>
          <w:bCs/>
        </w:rPr>
      </w:pPr>
      <w:r>
        <w:rPr>
          <w:b/>
          <w:bCs/>
        </w:rPr>
        <w:t>RELAZIONE SULLA GESTIONE</w:t>
      </w:r>
      <w:r>
        <w:rPr>
          <w:b/>
          <w:bCs/>
        </w:rPr>
        <w:t xml:space="preserve"> </w:t>
      </w:r>
    </w:p>
    <w:p>
      <w:pPr>
        <w:pStyle w:val="Normal"/>
        <w:jc w:val="center"/>
        <w:rPr>
          <w:b/>
          <w:b/>
          <w:bCs/>
        </w:rPr>
      </w:pPr>
      <w:r>
        <w:rPr>
          <w:b/>
          <w:bCs/>
        </w:rPr>
        <w:t xml:space="preserve">di corredo </w:t>
      </w:r>
      <w:r>
        <w:rPr>
          <w:b/>
          <w:bCs/>
        </w:rPr>
        <w:t>AL BILANCIO CHIUSO IL 31/12/2013</w:t>
      </w:r>
    </w:p>
    <w:p>
      <w:pPr>
        <w:pStyle w:val="Normal"/>
        <w:jc w:val="center"/>
        <w:rPr/>
      </w:pPr>
      <w:r>
        <w:rPr/>
      </w:r>
    </w:p>
    <w:p>
      <w:pPr>
        <w:pStyle w:val="Normal"/>
        <w:jc w:val="left"/>
        <w:rPr/>
      </w:pPr>
      <w:r>
        <w:rPr/>
        <w:t>PRESENTAZIONE</w:t>
      </w:r>
    </w:p>
    <w:p>
      <w:pPr>
        <w:pStyle w:val="Normal"/>
        <w:jc w:val="left"/>
        <w:rPr/>
      </w:pPr>
      <w:r>
        <w:rPr/>
        <w:t>Spettabili Soci,</w:t>
      </w:r>
    </w:p>
    <w:p>
      <w:pPr>
        <w:pStyle w:val="Normal"/>
        <w:jc w:val="left"/>
        <w:rPr/>
      </w:pPr>
      <w:r>
        <w:rPr/>
        <w:t xml:space="preserve">vi presentiamo la </w:t>
      </w:r>
      <w:r>
        <w:rPr/>
        <w:t xml:space="preserve">Relazione sulla Gestione </w:t>
      </w:r>
      <w:r>
        <w:rPr/>
        <w:t xml:space="preserve">del bilancio 2013, che è conforme </w:t>
      </w:r>
      <w:r>
        <w:rPr/>
        <w:t xml:space="preserve">alle previsioni dell’art. 2428 del codice civile. </w:t>
      </w:r>
    </w:p>
    <w:p>
      <w:pPr>
        <w:pStyle w:val="Normal"/>
        <w:jc w:val="left"/>
        <w:rPr/>
      </w:pPr>
      <w:r>
        <w:rPr/>
      </w:r>
    </w:p>
    <w:p>
      <w:pPr>
        <w:pStyle w:val="Normal"/>
        <w:jc w:val="left"/>
        <w:rPr/>
      </w:pPr>
      <w:r>
        <w:rPr/>
        <w:t>NOTIZIE SULLA SOCIETA’</w:t>
      </w:r>
    </w:p>
    <w:p>
      <w:pPr>
        <w:pStyle w:val="Normal"/>
        <w:jc w:val="left"/>
        <w:rPr/>
      </w:pPr>
      <w:r>
        <w:rPr/>
        <w:t xml:space="preserve">La società è stata costituita nel 2011 ed opera nel settore della produzione di tappi di sughero per l’imbottigliamento del vino. </w:t>
      </w:r>
    </w:p>
    <w:p>
      <w:pPr>
        <w:pStyle w:val="Normal"/>
        <w:jc w:val="left"/>
        <w:rPr/>
      </w:pPr>
      <w:r>
        <w:rPr/>
        <w:t>Il capitale sociale è suddiviso in 50 quote di euro 1.000, così ripartite:</w:t>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left"/>
              <w:rPr/>
            </w:pPr>
            <w:r>
              <w:rPr/>
              <w:t>Paolo Rossi</w:t>
            </w:r>
          </w:p>
        </w:tc>
        <w:tc>
          <w:tcPr>
            <w:tcW w:w="3213"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left"/>
              <w:rPr/>
            </w:pPr>
            <w:r>
              <w:rPr/>
              <w:t>10.000</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pPr>
            <w:r>
              <w:rPr/>
              <w:t>20%</w:t>
            </w:r>
          </w:p>
        </w:tc>
      </w:tr>
      <w:tr>
        <w:trPr/>
        <w:tc>
          <w:tcPr>
            <w:tcW w:w="3212" w:type="dxa"/>
            <w:tcBorders>
              <w:left w:val="single" w:sz="2" w:space="0" w:color="000000"/>
              <w:bottom w:val="single" w:sz="2" w:space="0" w:color="000000"/>
              <w:insideH w:val="single" w:sz="2" w:space="0" w:color="000000"/>
            </w:tcBorders>
            <w:shd w:fill="auto" w:val="clear"/>
          </w:tcPr>
          <w:p>
            <w:pPr>
              <w:pStyle w:val="Contenutotabella"/>
              <w:jc w:val="left"/>
              <w:rPr/>
            </w:pPr>
            <w:r>
              <w:rPr/>
              <w:t>Mario Verdi</w:t>
            </w:r>
          </w:p>
        </w:tc>
        <w:tc>
          <w:tcPr>
            <w:tcW w:w="3213" w:type="dxa"/>
            <w:tcBorders>
              <w:left w:val="single" w:sz="2" w:space="0" w:color="000000"/>
              <w:bottom w:val="single" w:sz="2" w:space="0" w:color="000000"/>
              <w:insideH w:val="single" w:sz="2" w:space="0" w:color="000000"/>
            </w:tcBorders>
            <w:shd w:fill="auto" w:val="clear"/>
          </w:tcPr>
          <w:p>
            <w:pPr>
              <w:pStyle w:val="Contenutotabella"/>
              <w:jc w:val="left"/>
              <w:rPr/>
            </w:pPr>
            <w:r>
              <w:rPr/>
              <w:t>16.000</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pPr>
            <w:r>
              <w:rPr/>
              <w:t>32%</w:t>
            </w:r>
          </w:p>
        </w:tc>
      </w:tr>
      <w:tr>
        <w:trPr/>
        <w:tc>
          <w:tcPr>
            <w:tcW w:w="3212" w:type="dxa"/>
            <w:tcBorders>
              <w:left w:val="single" w:sz="2" w:space="0" w:color="000000"/>
              <w:bottom w:val="single" w:sz="2" w:space="0" w:color="000000"/>
              <w:insideH w:val="single" w:sz="2" w:space="0" w:color="000000"/>
            </w:tcBorders>
            <w:shd w:fill="auto" w:val="clear"/>
          </w:tcPr>
          <w:p>
            <w:pPr>
              <w:pStyle w:val="Contenutotabella"/>
              <w:jc w:val="left"/>
              <w:rPr/>
            </w:pPr>
            <w:r>
              <w:rPr/>
              <w:t>Sandra Gialli</w:t>
            </w:r>
          </w:p>
        </w:tc>
        <w:tc>
          <w:tcPr>
            <w:tcW w:w="3213" w:type="dxa"/>
            <w:tcBorders>
              <w:left w:val="single" w:sz="2" w:space="0" w:color="000000"/>
              <w:bottom w:val="single" w:sz="2" w:space="0" w:color="000000"/>
              <w:insideH w:val="single" w:sz="2" w:space="0" w:color="000000"/>
            </w:tcBorders>
            <w:shd w:fill="auto" w:val="clear"/>
          </w:tcPr>
          <w:p>
            <w:pPr>
              <w:pStyle w:val="Contenutotabella"/>
              <w:jc w:val="left"/>
              <w:rPr/>
            </w:pPr>
            <w:r>
              <w:rPr/>
              <w:t>24.000</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pPr>
            <w:r>
              <w:rPr/>
              <w:t>48%</w:t>
            </w:r>
          </w:p>
        </w:tc>
      </w:tr>
    </w:tbl>
    <w:p>
      <w:pPr>
        <w:pStyle w:val="Normal"/>
        <w:jc w:val="left"/>
        <w:rPr/>
      </w:pPr>
      <w:r>
        <w:rPr/>
        <w:t xml:space="preserve"> </w:t>
      </w:r>
      <w:r>
        <w:rPr/>
        <w:t>L’amministrazione è affidata ad un amministratore unico, nella persona di</w:t>
      </w:r>
    </w:p>
    <w:p>
      <w:pPr>
        <w:pStyle w:val="Normal"/>
        <w:jc w:val="left"/>
        <w:rPr/>
      </w:pPr>
      <w:r>
        <w:rPr/>
        <w:t>La società non ha obbligo di collegio sindacale e/o società di revisione.</w:t>
      </w:r>
    </w:p>
    <w:p>
      <w:pPr>
        <w:pStyle w:val="Normal"/>
        <w:jc w:val="left"/>
        <w:rPr/>
      </w:pPr>
      <w:r>
        <w:rPr/>
      </w:r>
    </w:p>
    <w:p>
      <w:pPr>
        <w:pStyle w:val="Normal"/>
        <w:jc w:val="left"/>
        <w:rPr/>
      </w:pPr>
      <w:r>
        <w:rPr/>
        <w:t>ANDAMENTO RISULTATO DELLA GESTIONE</w:t>
      </w:r>
    </w:p>
    <w:p>
      <w:pPr>
        <w:pStyle w:val="Normal"/>
        <w:jc w:val="left"/>
        <w:rPr/>
      </w:pPr>
      <w:r>
        <w:rPr/>
        <w:t>L’esercizio 2013 si è chiuso con un utile netto di euro 73.155, con una diminuzione del 52% rispetto all’utile 2012 di euro 152.310.</w:t>
      </w:r>
    </w:p>
    <w:p>
      <w:pPr>
        <w:pStyle w:val="Normal"/>
        <w:jc w:val="left"/>
        <w:rPr/>
      </w:pPr>
      <w:r>
        <w:rPr/>
        <w:t>La riduzione è corrispondente al calo del fatturato 2013, dovuto essenzialmente alla chiusra del contratto di fornitura al cliente Festa srl, per problemi di solvibilità della medesima società.</w:t>
      </w:r>
    </w:p>
    <w:p>
      <w:pPr>
        <w:pStyle w:val="Normal"/>
        <w:jc w:val="left"/>
        <w:rPr/>
      </w:pPr>
      <w:r>
        <w:rPr/>
        <w:t>L’azienda resta comunque solida, sia dal punto di vista patrimoniale che economico. Anche il recente incendio, pur considerando i danni provocati, non avrà conseguenze irrecuperabili sulle future gestioni.</w:t>
      </w:r>
    </w:p>
    <w:p>
      <w:pPr>
        <w:pStyle w:val="Normal"/>
        <w:jc w:val="left"/>
        <w:rPr/>
      </w:pPr>
      <w:r>
        <w:rPr/>
      </w:r>
    </w:p>
    <w:p>
      <w:pPr>
        <w:pStyle w:val="Normal"/>
        <w:jc w:val="left"/>
        <w:rPr/>
      </w:pPr>
      <w:r>
        <w:rPr/>
      </w:r>
    </w:p>
    <w:p>
      <w:pPr>
        <w:pStyle w:val="Normal"/>
        <w:jc w:val="left"/>
        <w:rPr/>
      </w:pPr>
      <w:r>
        <w:rPr/>
        <w:object>
          <v:shape id="ole_rId2" style="width:569.35pt;height:420.6pt" o:ole="">
            <v:imagedata r:id="rId3" o:title=""/>
          </v:shape>
          <o:OLEObject Type="Embed" ProgID="Excel.Sheet.12" ShapeID="ole_rId2" DrawAspect="Content" ObjectID="_254197267" r:id="rId2"/>
        </w:object>
      </w:r>
    </w:p>
    <w:p>
      <w:pPr>
        <w:pStyle w:val="Normal"/>
        <w:jc w:val="left"/>
        <w:rPr/>
      </w:pPr>
      <w:r>
        <w:rPr/>
      </w:r>
    </w:p>
    <w:p>
      <w:pPr>
        <w:pStyle w:val="Normal"/>
        <w:jc w:val="center"/>
        <w:rPr/>
      </w:pPr>
      <w:r>
        <w:rPr/>
      </w:r>
    </w:p>
    <w:p>
      <w:pPr>
        <w:pStyle w:val="Normal"/>
        <w:jc w:val="left"/>
        <w:rPr/>
      </w:pPr>
      <w:r>
        <w:rPr/>
        <w:object>
          <v:shape id="ole_rId4" style="width:526.45pt;height:510.95pt" o:ole="">
            <v:imagedata r:id="rId5" o:title=""/>
          </v:shape>
          <o:OLEObject Type="Embed" ProgID="Excel.Sheet.12" ShapeID="ole_rId4" DrawAspect="Content" ObjectID="_1770610902" r:id="rId4"/>
        </w:object>
      </w:r>
    </w:p>
    <w:p>
      <w:pPr>
        <w:pStyle w:val="Normal"/>
        <w:jc w:val="left"/>
        <w:rPr/>
      </w:pPr>
      <w:r>
        <w:rPr/>
        <w:object>
          <v:shape id="ole_rId6" style="width:547.05pt;height:382.2pt" o:ole="">
            <v:imagedata r:id="rId7" o:title=""/>
          </v:shape>
          <o:OLEObject Type="Embed" ProgID="Excel.Sheet.12" ShapeID="ole_rId6" DrawAspect="Content" ObjectID="_1133884748" r:id="rId6"/>
        </w:objec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object>
          <v:shape id="ole_rId8" style="width:543.2pt;height:352.5pt" o:ole="">
            <v:imagedata r:id="rId9" o:title=""/>
          </v:shape>
          <o:OLEObject Type="Embed" ProgID="Excel.Sheet.12" ShapeID="ole_rId8" DrawAspect="Content" ObjectID="_1733939371" r:id="rId8"/>
        </w:object>
      </w:r>
      <w:r>
        <w:br w:type="page"/>
      </w:r>
    </w:p>
    <w:p>
      <w:pPr>
        <w:pStyle w:val="Normal"/>
        <w:jc w:val="left"/>
        <w:rPr/>
      </w:pPr>
      <w:r>
        <w:rPr/>
      </w:r>
    </w:p>
    <w:p>
      <w:pPr>
        <w:pStyle w:val="Normal"/>
        <w:jc w:val="center"/>
        <w:rPr/>
      </w:pPr>
      <w:r>
        <w:rPr/>
        <w:t>ANALISI ECONOMICA</w:t>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left"/>
              <w:rPr/>
            </w:pPr>
            <w:r>
              <w:rPr/>
              <w:t>INDICE</w:t>
            </w:r>
          </w:p>
        </w:tc>
        <w:tc>
          <w:tcPr>
            <w:tcW w:w="3213"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left"/>
              <w:rPr/>
            </w:pPr>
            <w:r>
              <w:rPr/>
              <w:t>2013</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pPr>
            <w:r>
              <w:rPr/>
              <w:t>2012</w:t>
            </w:r>
          </w:p>
        </w:tc>
      </w:tr>
      <w:tr>
        <w:trPr/>
        <w:tc>
          <w:tcPr>
            <w:tcW w:w="3212" w:type="dxa"/>
            <w:tcBorders>
              <w:left w:val="single" w:sz="2" w:space="0" w:color="000000"/>
              <w:bottom w:val="single" w:sz="2" w:space="0" w:color="000000"/>
              <w:insideH w:val="single" w:sz="2" w:space="0" w:color="000000"/>
            </w:tcBorders>
            <w:shd w:fill="auto" w:val="clear"/>
          </w:tcPr>
          <w:p>
            <w:pPr>
              <w:pStyle w:val="Contenutotabella"/>
              <w:jc w:val="left"/>
              <w:rPr/>
            </w:pPr>
            <w:r>
              <w:rPr/>
              <w:t>ROE</w:t>
            </w:r>
          </w:p>
        </w:tc>
        <w:tc>
          <w:tcPr>
            <w:tcW w:w="3213" w:type="dxa"/>
            <w:tcBorders>
              <w:left w:val="single" w:sz="2" w:space="0" w:color="000000"/>
              <w:bottom w:val="single" w:sz="2" w:space="0" w:color="000000"/>
              <w:insideH w:val="single" w:sz="2" w:space="0" w:color="000000"/>
            </w:tcBorders>
            <w:shd w:fill="auto" w:val="clear"/>
          </w:tcPr>
          <w:p>
            <w:pPr>
              <w:pStyle w:val="Contenutotabella"/>
              <w:jc w:val="left"/>
              <w:rPr/>
            </w:pPr>
            <w:r>
              <w:rPr/>
              <w:t>36,81%</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pPr>
            <w:r>
              <w:rPr/>
              <w:t>74,10%</w:t>
            </w:r>
          </w:p>
        </w:tc>
      </w:tr>
      <w:tr>
        <w:trPr/>
        <w:tc>
          <w:tcPr>
            <w:tcW w:w="3212" w:type="dxa"/>
            <w:tcBorders>
              <w:left w:val="single" w:sz="2" w:space="0" w:color="000000"/>
              <w:bottom w:val="single" w:sz="2" w:space="0" w:color="000000"/>
              <w:insideH w:val="single" w:sz="2" w:space="0" w:color="000000"/>
            </w:tcBorders>
            <w:shd w:fill="auto" w:val="clear"/>
          </w:tcPr>
          <w:p>
            <w:pPr>
              <w:pStyle w:val="Contenutotabella"/>
              <w:jc w:val="left"/>
              <w:rPr/>
            </w:pPr>
            <w:r>
              <w:rPr/>
              <w:t>ROI</w:t>
            </w:r>
          </w:p>
        </w:tc>
        <w:tc>
          <w:tcPr>
            <w:tcW w:w="3213" w:type="dxa"/>
            <w:tcBorders>
              <w:left w:val="single" w:sz="2" w:space="0" w:color="000000"/>
              <w:bottom w:val="single" w:sz="2" w:space="0" w:color="000000"/>
              <w:insideH w:val="single" w:sz="2" w:space="0" w:color="000000"/>
            </w:tcBorders>
            <w:shd w:fill="auto" w:val="clear"/>
          </w:tcPr>
          <w:p>
            <w:pPr>
              <w:pStyle w:val="Contenutotabella"/>
              <w:jc w:val="left"/>
              <w:rPr/>
            </w:pPr>
            <w:r>
              <w:rPr/>
              <w:t>20,88%</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pPr>
            <w:r>
              <w:rPr/>
              <w:t>58,88%</w:t>
            </w:r>
          </w:p>
        </w:tc>
      </w:tr>
      <w:tr>
        <w:trPr/>
        <w:tc>
          <w:tcPr>
            <w:tcW w:w="3212" w:type="dxa"/>
            <w:tcBorders>
              <w:left w:val="single" w:sz="2" w:space="0" w:color="000000"/>
              <w:bottom w:val="single" w:sz="2" w:space="0" w:color="000000"/>
              <w:insideH w:val="single" w:sz="2" w:space="0" w:color="000000"/>
            </w:tcBorders>
            <w:shd w:fill="auto" w:val="clear"/>
          </w:tcPr>
          <w:p>
            <w:pPr>
              <w:pStyle w:val="Contenutotabella"/>
              <w:jc w:val="left"/>
              <w:rPr/>
            </w:pPr>
            <w:r>
              <w:rPr/>
              <w:t>ROD</w:t>
            </w:r>
          </w:p>
        </w:tc>
        <w:tc>
          <w:tcPr>
            <w:tcW w:w="3213" w:type="dxa"/>
            <w:tcBorders>
              <w:left w:val="single" w:sz="2" w:space="0" w:color="000000"/>
              <w:bottom w:val="single" w:sz="2" w:space="0" w:color="000000"/>
              <w:insideH w:val="single" w:sz="2" w:space="0" w:color="000000"/>
            </w:tcBorders>
            <w:shd w:fill="auto" w:val="clear"/>
          </w:tcPr>
          <w:p>
            <w:pPr>
              <w:pStyle w:val="Contenutotabella"/>
              <w:jc w:val="left"/>
              <w:rPr/>
            </w:pPr>
            <w:r>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pPr>
            <w:r>
              <w:rPr/>
            </w:r>
          </w:p>
        </w:tc>
      </w:tr>
      <w:tr>
        <w:trPr/>
        <w:tc>
          <w:tcPr>
            <w:tcW w:w="3212" w:type="dxa"/>
            <w:tcBorders>
              <w:left w:val="single" w:sz="2" w:space="0" w:color="000000"/>
              <w:bottom w:val="single" w:sz="2" w:space="0" w:color="000000"/>
              <w:insideH w:val="single" w:sz="2" w:space="0" w:color="000000"/>
            </w:tcBorders>
            <w:shd w:fill="auto" w:val="clear"/>
          </w:tcPr>
          <w:p>
            <w:pPr>
              <w:pStyle w:val="Contenutotabella"/>
              <w:jc w:val="left"/>
              <w:rPr/>
            </w:pPr>
            <w:r>
              <w:rPr/>
              <w:t>ROS</w:t>
            </w:r>
          </w:p>
        </w:tc>
        <w:tc>
          <w:tcPr>
            <w:tcW w:w="3213" w:type="dxa"/>
            <w:tcBorders>
              <w:left w:val="single" w:sz="2" w:space="0" w:color="000000"/>
              <w:bottom w:val="single" w:sz="2" w:space="0" w:color="000000"/>
              <w:insideH w:val="single" w:sz="2" w:space="0" w:color="000000"/>
            </w:tcBorders>
            <w:shd w:fill="auto" w:val="clear"/>
          </w:tcPr>
          <w:p>
            <w:pPr>
              <w:pStyle w:val="Contenutotabella"/>
              <w:jc w:val="left"/>
              <w:rPr/>
            </w:pPr>
            <w:r>
              <w:rPr/>
              <w:t>11,32%</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pPr>
            <w:r>
              <w:rPr/>
              <w:t>21,84%</w:t>
            </w:r>
          </w:p>
        </w:tc>
      </w:tr>
      <w:tr>
        <w:trPr/>
        <w:tc>
          <w:tcPr>
            <w:tcW w:w="3212" w:type="dxa"/>
            <w:tcBorders>
              <w:left w:val="single" w:sz="2" w:space="0" w:color="000000"/>
              <w:bottom w:val="single" w:sz="2" w:space="0" w:color="000000"/>
              <w:insideH w:val="single" w:sz="2" w:space="0" w:color="000000"/>
            </w:tcBorders>
            <w:shd w:fill="auto" w:val="clear"/>
          </w:tcPr>
          <w:p>
            <w:pPr>
              <w:pStyle w:val="Contenutotabella"/>
              <w:jc w:val="left"/>
              <w:rPr/>
            </w:pPr>
            <w:r>
              <w:rPr/>
            </w:r>
          </w:p>
        </w:tc>
        <w:tc>
          <w:tcPr>
            <w:tcW w:w="3213" w:type="dxa"/>
            <w:tcBorders>
              <w:left w:val="single" w:sz="2" w:space="0" w:color="000000"/>
              <w:bottom w:val="single" w:sz="2" w:space="0" w:color="000000"/>
              <w:insideH w:val="single" w:sz="2" w:space="0" w:color="000000"/>
            </w:tcBorders>
            <w:shd w:fill="auto" w:val="clear"/>
          </w:tcPr>
          <w:p>
            <w:pPr>
              <w:pStyle w:val="Contenutotabella"/>
              <w:jc w:val="left"/>
              <w:rPr/>
            </w:pPr>
            <w:r>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pPr>
            <w:r>
              <w:rPr/>
            </w:r>
          </w:p>
        </w:tc>
      </w:tr>
      <w:tr>
        <w:trPr/>
        <w:tc>
          <w:tcPr>
            <w:tcW w:w="3212" w:type="dxa"/>
            <w:tcBorders>
              <w:left w:val="single" w:sz="2" w:space="0" w:color="000000"/>
              <w:bottom w:val="single" w:sz="2" w:space="0" w:color="000000"/>
              <w:insideH w:val="single" w:sz="2" w:space="0" w:color="000000"/>
            </w:tcBorders>
            <w:shd w:fill="auto" w:val="clear"/>
          </w:tcPr>
          <w:p>
            <w:pPr>
              <w:pStyle w:val="Contenutotabella"/>
              <w:jc w:val="left"/>
              <w:rPr/>
            </w:pPr>
            <w:r>
              <w:rPr/>
            </w:r>
          </w:p>
        </w:tc>
        <w:tc>
          <w:tcPr>
            <w:tcW w:w="3213" w:type="dxa"/>
            <w:tcBorders>
              <w:left w:val="single" w:sz="2" w:space="0" w:color="000000"/>
              <w:bottom w:val="single" w:sz="2" w:space="0" w:color="000000"/>
              <w:insideH w:val="single" w:sz="2" w:space="0" w:color="000000"/>
            </w:tcBorders>
            <w:shd w:fill="auto" w:val="clear"/>
          </w:tcPr>
          <w:p>
            <w:pPr>
              <w:pStyle w:val="Contenutotabella"/>
              <w:jc w:val="left"/>
              <w:rPr/>
            </w:pPr>
            <w:r>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pPr>
            <w:r>
              <w:rPr/>
            </w:r>
          </w:p>
        </w:tc>
      </w:tr>
      <w:tr>
        <w:trPr/>
        <w:tc>
          <w:tcPr>
            <w:tcW w:w="3212" w:type="dxa"/>
            <w:tcBorders>
              <w:left w:val="single" w:sz="2" w:space="0" w:color="000000"/>
              <w:bottom w:val="single" w:sz="2" w:space="0" w:color="000000"/>
              <w:insideH w:val="single" w:sz="2" w:space="0" w:color="000000"/>
            </w:tcBorders>
            <w:shd w:fill="auto" w:val="clear"/>
          </w:tcPr>
          <w:p>
            <w:pPr>
              <w:pStyle w:val="Contenutotabella"/>
              <w:jc w:val="left"/>
              <w:rPr/>
            </w:pPr>
            <w:r>
              <w:rPr/>
            </w:r>
          </w:p>
        </w:tc>
        <w:tc>
          <w:tcPr>
            <w:tcW w:w="3213" w:type="dxa"/>
            <w:tcBorders>
              <w:left w:val="single" w:sz="2" w:space="0" w:color="000000"/>
              <w:bottom w:val="single" w:sz="2" w:space="0" w:color="000000"/>
              <w:insideH w:val="single" w:sz="2" w:space="0" w:color="000000"/>
            </w:tcBorders>
            <w:shd w:fill="auto" w:val="clear"/>
          </w:tcPr>
          <w:p>
            <w:pPr>
              <w:pStyle w:val="Contenutotabella"/>
              <w:jc w:val="left"/>
              <w:rPr/>
            </w:pPr>
            <w:r>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pPr>
            <w:r>
              <w:rPr/>
            </w:r>
          </w:p>
        </w:tc>
      </w:tr>
      <w:tr>
        <w:trPr/>
        <w:tc>
          <w:tcPr>
            <w:tcW w:w="3212" w:type="dxa"/>
            <w:tcBorders>
              <w:left w:val="single" w:sz="2" w:space="0" w:color="000000"/>
              <w:bottom w:val="single" w:sz="2" w:space="0" w:color="000000"/>
              <w:insideH w:val="single" w:sz="2" w:space="0" w:color="000000"/>
            </w:tcBorders>
            <w:shd w:fill="auto" w:val="clear"/>
          </w:tcPr>
          <w:p>
            <w:pPr>
              <w:pStyle w:val="Contenutotabella"/>
              <w:jc w:val="left"/>
              <w:rPr/>
            </w:pPr>
            <w:r>
              <w:rPr/>
            </w:r>
          </w:p>
        </w:tc>
        <w:tc>
          <w:tcPr>
            <w:tcW w:w="3213" w:type="dxa"/>
            <w:tcBorders>
              <w:left w:val="single" w:sz="2" w:space="0" w:color="000000"/>
              <w:bottom w:val="single" w:sz="2" w:space="0" w:color="000000"/>
              <w:insideH w:val="single" w:sz="2" w:space="0" w:color="000000"/>
            </w:tcBorders>
            <w:shd w:fill="auto" w:val="clear"/>
          </w:tcPr>
          <w:p>
            <w:pPr>
              <w:pStyle w:val="Contenutotabella"/>
              <w:jc w:val="left"/>
              <w:rPr/>
            </w:pPr>
            <w:r>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pPr>
            <w:r>
              <w:rPr/>
            </w:r>
          </w:p>
        </w:tc>
      </w:tr>
      <w:tr>
        <w:trPr/>
        <w:tc>
          <w:tcPr>
            <w:tcW w:w="3212" w:type="dxa"/>
            <w:tcBorders>
              <w:left w:val="single" w:sz="2" w:space="0" w:color="000000"/>
              <w:bottom w:val="single" w:sz="2" w:space="0" w:color="000000"/>
              <w:insideH w:val="single" w:sz="2" w:space="0" w:color="000000"/>
            </w:tcBorders>
            <w:shd w:fill="auto" w:val="clear"/>
          </w:tcPr>
          <w:p>
            <w:pPr>
              <w:pStyle w:val="Contenutotabella"/>
              <w:jc w:val="left"/>
              <w:rPr/>
            </w:pPr>
            <w:r>
              <w:rPr/>
            </w:r>
          </w:p>
        </w:tc>
        <w:tc>
          <w:tcPr>
            <w:tcW w:w="3213" w:type="dxa"/>
            <w:tcBorders>
              <w:left w:val="single" w:sz="2" w:space="0" w:color="000000"/>
              <w:bottom w:val="single" w:sz="2" w:space="0" w:color="000000"/>
              <w:insideH w:val="single" w:sz="2" w:space="0" w:color="000000"/>
            </w:tcBorders>
            <w:shd w:fill="auto" w:val="clear"/>
          </w:tcPr>
          <w:p>
            <w:pPr>
              <w:pStyle w:val="Contenutotabella"/>
              <w:jc w:val="left"/>
              <w:rPr/>
            </w:pPr>
            <w:r>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pPr>
            <w:r>
              <w:rPr/>
            </w:r>
          </w:p>
        </w:tc>
      </w:tr>
    </w:tbl>
    <w:p>
      <w:pPr>
        <w:pStyle w:val="Normal"/>
        <w:jc w:val="left"/>
        <w:rPr/>
      </w:pPr>
      <w:r>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27"/>
        <w:gridCol w:w="1928"/>
        <w:gridCol w:w="1927"/>
        <w:gridCol w:w="1928"/>
        <w:gridCol w:w="1928"/>
      </w:tblGrid>
      <w:tr>
        <w:trPr/>
        <w:tc>
          <w:tcPr>
            <w:tcW w:w="1927"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center"/>
              <w:rPr/>
            </w:pPr>
            <w:r>
              <w:rPr/>
            </w:r>
          </w:p>
        </w:tc>
        <w:tc>
          <w:tcPr>
            <w:tcW w:w="1928"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center"/>
              <w:rPr/>
            </w:pPr>
            <w:r>
              <w:rPr/>
              <w:t>2012</w:t>
            </w:r>
          </w:p>
        </w:tc>
        <w:tc>
          <w:tcPr>
            <w:tcW w:w="1927"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center"/>
              <w:rPr/>
            </w:pPr>
            <w:r>
              <w:rPr/>
              <w:t>2013</w:t>
            </w:r>
          </w:p>
        </w:tc>
        <w:tc>
          <w:tcPr>
            <w:tcW w:w="1928"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center"/>
              <w:rPr/>
            </w:pPr>
            <w:r>
              <w:rPr/>
              <w:t>Diff. assoluta</w:t>
            </w:r>
          </w:p>
        </w:tc>
        <w:tc>
          <w:tcPr>
            <w:tcW w:w="19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center"/>
              <w:rPr/>
            </w:pPr>
            <w:r>
              <w:rPr/>
              <w:t>Diff. %</w:t>
            </w:r>
          </w:p>
        </w:tc>
      </w:tr>
      <w:tr>
        <w:trPr/>
        <w:tc>
          <w:tcPr>
            <w:tcW w:w="1927" w:type="dxa"/>
            <w:tcBorders>
              <w:left w:val="single" w:sz="2" w:space="0" w:color="000000"/>
              <w:bottom w:val="single" w:sz="2" w:space="0" w:color="000000"/>
              <w:insideH w:val="single" w:sz="2" w:space="0" w:color="000000"/>
            </w:tcBorders>
            <w:shd w:fill="auto" w:val="clear"/>
          </w:tcPr>
          <w:p>
            <w:pPr>
              <w:pStyle w:val="Contenutotabella"/>
              <w:jc w:val="left"/>
              <w:rPr/>
            </w:pPr>
            <w:r>
              <w:rPr/>
              <w:t>Valore produzione</w:t>
            </w:r>
          </w:p>
        </w:tc>
        <w:tc>
          <w:tcPr>
            <w:tcW w:w="1928" w:type="dxa"/>
            <w:tcBorders>
              <w:left w:val="single" w:sz="2" w:space="0" w:color="000000"/>
              <w:bottom w:val="single" w:sz="2" w:space="0" w:color="000000"/>
              <w:insideH w:val="single" w:sz="2" w:space="0" w:color="000000"/>
            </w:tcBorders>
            <w:shd w:fill="auto" w:val="clear"/>
          </w:tcPr>
          <w:p>
            <w:pPr>
              <w:pStyle w:val="Contenutotabella"/>
              <w:jc w:val="center"/>
              <w:rPr/>
            </w:pPr>
            <w:r>
              <w:rPr/>
              <w:t>905.900</w:t>
            </w:r>
          </w:p>
        </w:tc>
        <w:tc>
          <w:tcPr>
            <w:tcW w:w="1927" w:type="dxa"/>
            <w:tcBorders>
              <w:left w:val="single" w:sz="2" w:space="0" w:color="000000"/>
              <w:bottom w:val="single" w:sz="2" w:space="0" w:color="000000"/>
              <w:insideH w:val="single" w:sz="2" w:space="0" w:color="000000"/>
            </w:tcBorders>
            <w:shd w:fill="auto" w:val="clear"/>
          </w:tcPr>
          <w:p>
            <w:pPr>
              <w:pStyle w:val="Contenutotabella"/>
              <w:jc w:val="center"/>
              <w:rPr/>
            </w:pPr>
            <w:r>
              <w:rPr/>
              <w:t>777.780</w:t>
            </w:r>
          </w:p>
        </w:tc>
        <w:tc>
          <w:tcPr>
            <w:tcW w:w="1928" w:type="dxa"/>
            <w:tcBorders>
              <w:left w:val="single" w:sz="2" w:space="0" w:color="000000"/>
              <w:bottom w:val="single" w:sz="2" w:space="0" w:color="000000"/>
              <w:insideH w:val="single" w:sz="2" w:space="0" w:color="000000"/>
            </w:tcBorders>
            <w:shd w:fill="auto" w:val="clear"/>
          </w:tcPr>
          <w:p>
            <w:pPr>
              <w:pStyle w:val="Contenutotabella"/>
              <w:jc w:val="center"/>
              <w:rPr/>
            </w:pPr>
            <w:r>
              <w:rPr/>
              <w:t>128.120</w:t>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center"/>
              <w:rPr/>
            </w:pPr>
            <w:r>
              <w:rPr/>
              <w:t>-</w:t>
            </w:r>
            <w:r>
              <w:rPr/>
              <w:t>14%</w:t>
            </w:r>
          </w:p>
        </w:tc>
      </w:tr>
      <w:tr>
        <w:trPr/>
        <w:tc>
          <w:tcPr>
            <w:tcW w:w="1927" w:type="dxa"/>
            <w:tcBorders>
              <w:left w:val="single" w:sz="2" w:space="0" w:color="000000"/>
              <w:bottom w:val="single" w:sz="2" w:space="0" w:color="000000"/>
              <w:insideH w:val="single" w:sz="2" w:space="0" w:color="000000"/>
            </w:tcBorders>
            <w:shd w:fill="auto" w:val="clear"/>
          </w:tcPr>
          <w:p>
            <w:pPr>
              <w:pStyle w:val="Contenutotabella"/>
              <w:jc w:val="left"/>
              <w:rPr/>
            </w:pPr>
            <w:r>
              <w:rPr/>
              <w:t>Margine Operativo Netto</w:t>
            </w:r>
          </w:p>
        </w:tc>
        <w:tc>
          <w:tcPr>
            <w:tcW w:w="1928" w:type="dxa"/>
            <w:tcBorders>
              <w:left w:val="single" w:sz="2" w:space="0" w:color="000000"/>
              <w:bottom w:val="single" w:sz="2" w:space="0" w:color="000000"/>
              <w:insideH w:val="single" w:sz="2" w:space="0" w:color="000000"/>
            </w:tcBorders>
            <w:shd w:fill="auto" w:val="clear"/>
          </w:tcPr>
          <w:p>
            <w:pPr>
              <w:pStyle w:val="Contenutotabella"/>
              <w:jc w:val="center"/>
              <w:rPr/>
            </w:pPr>
            <w:r>
              <w:rPr/>
              <w:t>197.810</w:t>
            </w:r>
          </w:p>
        </w:tc>
        <w:tc>
          <w:tcPr>
            <w:tcW w:w="1927" w:type="dxa"/>
            <w:tcBorders>
              <w:left w:val="single" w:sz="2" w:space="0" w:color="000000"/>
              <w:bottom w:val="single" w:sz="2" w:space="0" w:color="000000"/>
              <w:insideH w:val="single" w:sz="2" w:space="0" w:color="000000"/>
            </w:tcBorders>
            <w:shd w:fill="auto" w:val="clear"/>
          </w:tcPr>
          <w:p>
            <w:pPr>
              <w:pStyle w:val="Contenutotabella"/>
              <w:jc w:val="center"/>
              <w:rPr/>
            </w:pPr>
            <w:r>
              <w:rPr/>
              <w:t>88.056</w:t>
            </w:r>
          </w:p>
        </w:tc>
        <w:tc>
          <w:tcPr>
            <w:tcW w:w="1928" w:type="dxa"/>
            <w:tcBorders>
              <w:left w:val="single" w:sz="2" w:space="0" w:color="000000"/>
              <w:bottom w:val="single" w:sz="2" w:space="0" w:color="000000"/>
              <w:insideH w:val="single" w:sz="2" w:space="0" w:color="000000"/>
            </w:tcBorders>
            <w:shd w:fill="auto" w:val="clear"/>
          </w:tcPr>
          <w:p>
            <w:pPr>
              <w:pStyle w:val="Contenutotabella"/>
              <w:jc w:val="center"/>
              <w:rPr/>
            </w:pPr>
            <w:r>
              <w:rPr/>
              <w:t>109.754</w:t>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center"/>
              <w:rPr/>
            </w:pPr>
            <w:r>
              <w:rPr/>
              <w:t>-</w:t>
            </w:r>
            <w:r>
              <w:rPr/>
              <w:t>55,48%</w:t>
            </w:r>
          </w:p>
        </w:tc>
      </w:tr>
    </w:tbl>
    <w:p>
      <w:pPr>
        <w:pStyle w:val="Normal"/>
        <w:jc w:val="left"/>
        <w:rPr/>
      </w:pPr>
      <w:r>
        <w:rPr/>
      </w:r>
    </w:p>
    <w:p>
      <w:pPr>
        <w:pStyle w:val="Normal"/>
        <w:jc w:val="left"/>
        <w:rPr/>
      </w:pPr>
      <w:r>
        <w:rPr/>
        <w:t>La diminuzione della produzione del 14% ha causato, causa i costi fissi, una riduzione del margine operativo netto (MON o EBIT) del 55,48%.</w:t>
      </w:r>
    </w:p>
    <w:p>
      <w:pPr>
        <w:pStyle w:val="Normal"/>
        <w:jc w:val="left"/>
        <w:rPr/>
      </w:pPr>
      <w:r>
        <w:rPr/>
        <w:t>Tuttavia, la Redditività dei mezzi propri (ROE), seppur diminuita, resta pur sempre molto elevata (36,81%) se confrontata con i rendimenti degli investimenti alternativi.</w:t>
      </w:r>
    </w:p>
    <w:p>
      <w:pPr>
        <w:pStyle w:val="Normal"/>
        <w:jc w:val="left"/>
        <w:rPr/>
      </w:pPr>
      <w:r>
        <w:rPr/>
        <w:t>Anche la redditività delle vendite si attesta, nel 2013, su un più che soddisfacente 11,32%.</w:t>
      </w:r>
    </w:p>
    <w:p>
      <w:pPr>
        <w:pStyle w:val="Normal"/>
        <w:jc w:val="left"/>
        <w:rPr/>
      </w:pPr>
      <w:r>
        <w:rPr/>
      </w:r>
    </w:p>
    <w:p>
      <w:pPr>
        <w:pStyle w:val="Normal"/>
        <w:jc w:val="center"/>
        <w:rPr/>
      </w:pPr>
      <w:r>
        <w:rPr/>
        <w:t>ANALISI PRODUTTIVITA’</w:t>
      </w:r>
    </w:p>
    <w:p>
      <w:pPr>
        <w:pStyle w:val="Normal"/>
        <w:jc w:val="center"/>
        <w:rPr/>
      </w:pPr>
      <w:r>
        <w:rPr/>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265"/>
        <w:gridCol w:w="2280"/>
        <w:gridCol w:w="2100"/>
      </w:tblGrid>
      <w:tr>
        <w:trPr/>
        <w:tc>
          <w:tcPr>
            <w:tcW w:w="5265"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left"/>
              <w:rPr/>
            </w:pPr>
            <w:r>
              <w:rPr/>
            </w:r>
          </w:p>
        </w:tc>
        <w:tc>
          <w:tcPr>
            <w:tcW w:w="2280"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center"/>
              <w:rPr/>
            </w:pPr>
            <w:r>
              <w:rPr/>
              <w:t>2013</w:t>
            </w:r>
          </w:p>
        </w:tc>
        <w:tc>
          <w:tcPr>
            <w:tcW w:w="21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center"/>
              <w:rPr/>
            </w:pPr>
            <w:r>
              <w:rPr/>
              <w:t>2012</w:t>
            </w:r>
          </w:p>
        </w:tc>
      </w:tr>
      <w:tr>
        <w:trPr/>
        <w:tc>
          <w:tcPr>
            <w:tcW w:w="5265" w:type="dxa"/>
            <w:tcBorders>
              <w:left w:val="single" w:sz="2" w:space="0" w:color="000000"/>
              <w:bottom w:val="single" w:sz="2" w:space="0" w:color="000000"/>
              <w:insideH w:val="single" w:sz="2" w:space="0" w:color="000000"/>
            </w:tcBorders>
            <w:shd w:fill="auto" w:val="clear"/>
          </w:tcPr>
          <w:p>
            <w:pPr>
              <w:pStyle w:val="Contenutotabella"/>
              <w:jc w:val="left"/>
              <w:rPr/>
            </w:pPr>
            <w:r>
              <w:rPr/>
              <w:t>FATTURATO MEDIO PER DIPENDENTE</w:t>
            </w:r>
          </w:p>
        </w:tc>
        <w:tc>
          <w:tcPr>
            <w:tcW w:w="2280" w:type="dxa"/>
            <w:tcBorders>
              <w:left w:val="single" w:sz="2" w:space="0" w:color="000000"/>
              <w:bottom w:val="single" w:sz="2" w:space="0" w:color="000000"/>
              <w:insideH w:val="single" w:sz="2" w:space="0" w:color="000000"/>
            </w:tcBorders>
            <w:shd w:fill="auto" w:val="clear"/>
          </w:tcPr>
          <w:p>
            <w:pPr>
              <w:pStyle w:val="Contenutotabella"/>
              <w:jc w:val="center"/>
              <w:rPr/>
            </w:pPr>
            <w:r>
              <w:rPr/>
              <w:t>111.111</w:t>
            </w:r>
          </w:p>
        </w:tc>
        <w:tc>
          <w:tcPr>
            <w:tcW w:w="2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center"/>
              <w:rPr/>
            </w:pPr>
            <w:r>
              <w:rPr/>
              <w:t>129.414</w:t>
            </w:r>
          </w:p>
        </w:tc>
      </w:tr>
      <w:tr>
        <w:trPr/>
        <w:tc>
          <w:tcPr>
            <w:tcW w:w="5265" w:type="dxa"/>
            <w:tcBorders>
              <w:left w:val="single" w:sz="2" w:space="0" w:color="000000"/>
              <w:bottom w:val="single" w:sz="2" w:space="0" w:color="000000"/>
              <w:insideH w:val="single" w:sz="2" w:space="0" w:color="000000"/>
            </w:tcBorders>
            <w:shd w:fill="auto" w:val="clear"/>
          </w:tcPr>
          <w:p>
            <w:pPr>
              <w:pStyle w:val="Contenutotabella"/>
              <w:jc w:val="left"/>
              <w:rPr/>
            </w:pPr>
            <w:r>
              <w:rPr/>
              <w:t>COSTO MEDIO DIPEN</w:t>
            </w:r>
            <w:r>
              <w:rPr/>
              <w:t>DEN</w:t>
            </w:r>
            <w:r>
              <w:rPr/>
              <w:t>TE</w:t>
            </w:r>
          </w:p>
        </w:tc>
        <w:tc>
          <w:tcPr>
            <w:tcW w:w="2280" w:type="dxa"/>
            <w:tcBorders>
              <w:left w:val="single" w:sz="2" w:space="0" w:color="000000"/>
              <w:bottom w:val="single" w:sz="2" w:space="0" w:color="000000"/>
              <w:insideH w:val="single" w:sz="2" w:space="0" w:color="000000"/>
            </w:tcBorders>
            <w:shd w:fill="auto" w:val="clear"/>
          </w:tcPr>
          <w:p>
            <w:pPr>
              <w:pStyle w:val="Contenutotabella"/>
              <w:jc w:val="center"/>
              <w:rPr/>
            </w:pPr>
            <w:r>
              <w:rPr/>
              <w:t>34.008</w:t>
            </w:r>
          </w:p>
        </w:tc>
        <w:tc>
          <w:tcPr>
            <w:tcW w:w="2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center"/>
              <w:rPr/>
            </w:pPr>
            <w:r>
              <w:rPr/>
              <w:t>31.356</w:t>
            </w:r>
          </w:p>
        </w:tc>
      </w:tr>
      <w:tr>
        <w:trPr/>
        <w:tc>
          <w:tcPr>
            <w:tcW w:w="5265" w:type="dxa"/>
            <w:tcBorders>
              <w:left w:val="single" w:sz="2" w:space="0" w:color="000000"/>
              <w:bottom w:val="single" w:sz="2" w:space="0" w:color="000000"/>
              <w:insideH w:val="single" w:sz="2" w:space="0" w:color="000000"/>
            </w:tcBorders>
            <w:shd w:fill="auto" w:val="clear"/>
          </w:tcPr>
          <w:p>
            <w:pPr>
              <w:pStyle w:val="Contenutotabella"/>
              <w:jc w:val="left"/>
              <w:rPr/>
            </w:pPr>
            <w:r>
              <w:rPr/>
              <w:t>INCIDENZA DEL LAVORO</w:t>
            </w:r>
          </w:p>
        </w:tc>
        <w:tc>
          <w:tcPr>
            <w:tcW w:w="2280" w:type="dxa"/>
            <w:tcBorders>
              <w:left w:val="single" w:sz="2" w:space="0" w:color="000000"/>
              <w:bottom w:val="single" w:sz="2" w:space="0" w:color="000000"/>
              <w:insideH w:val="single" w:sz="2" w:space="0" w:color="000000"/>
            </w:tcBorders>
            <w:shd w:fill="auto" w:val="clear"/>
          </w:tcPr>
          <w:p>
            <w:pPr>
              <w:pStyle w:val="Contenutotabella"/>
              <w:jc w:val="center"/>
              <w:rPr/>
            </w:pPr>
            <w:r>
              <w:rPr/>
              <w:t>30,61</w:t>
            </w:r>
          </w:p>
        </w:tc>
        <w:tc>
          <w:tcPr>
            <w:tcW w:w="2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center"/>
              <w:rPr/>
            </w:pPr>
            <w:r>
              <w:rPr/>
              <w:t>24,23%</w:t>
            </w:r>
          </w:p>
        </w:tc>
      </w:tr>
    </w:tbl>
    <w:p>
      <w:pPr>
        <w:pStyle w:val="Normal"/>
        <w:jc w:val="left"/>
        <w:rPr/>
      </w:pPr>
      <w:r>
        <w:rPr/>
      </w:r>
    </w:p>
    <w:p>
      <w:pPr>
        <w:pStyle w:val="Normal"/>
        <w:jc w:val="left"/>
        <w:rPr/>
      </w:pPr>
      <w:r>
        <w:rPr/>
        <w:t>La riduzione del fatturato e la perdita della fiscalizzazione degli oneri sociali hanno determinato un peggioramento degli indici di produttività. Nel corso del 2014, con il recupero, almeno parziale, del fatturato perso nel 2013, si avrà un miglioramento dell’efficienza dell’utilizzo dei lavoratori.</w:t>
      </w:r>
    </w:p>
    <w:p>
      <w:pPr>
        <w:pStyle w:val="Normal"/>
        <w:jc w:val="left"/>
        <w:rPr/>
      </w:pPr>
      <w:r>
        <w:rPr/>
      </w:r>
    </w:p>
    <w:p>
      <w:pPr>
        <w:pStyle w:val="Normal"/>
        <w:jc w:val="center"/>
        <w:rPr/>
      </w:pPr>
      <w:r>
        <w:rPr/>
        <w:t>ANALISI PATRIMONIALE E FINANZIARIA</w:t>
      </w:r>
    </w:p>
    <w:p>
      <w:pPr>
        <w:pStyle w:val="Normal"/>
        <w:jc w:val="center"/>
        <w:rPr/>
      </w:pPr>
      <w:r>
        <w:rPr/>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265"/>
        <w:gridCol w:w="2325"/>
        <w:gridCol w:w="2055"/>
      </w:tblGrid>
      <w:tr>
        <w:trPr/>
        <w:tc>
          <w:tcPr>
            <w:tcW w:w="5265"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center"/>
              <w:rPr/>
            </w:pPr>
            <w:r>
              <w:rPr/>
            </w:r>
          </w:p>
        </w:tc>
        <w:tc>
          <w:tcPr>
            <w:tcW w:w="2325"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center"/>
              <w:rPr/>
            </w:pPr>
            <w:r>
              <w:rPr/>
              <w:t>2013</w:t>
            </w:r>
          </w:p>
        </w:tc>
        <w:tc>
          <w:tcPr>
            <w:tcW w:w="20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center"/>
              <w:rPr/>
            </w:pPr>
            <w:r>
              <w:rPr/>
              <w:t>2012</w:t>
            </w:r>
          </w:p>
        </w:tc>
      </w:tr>
      <w:tr>
        <w:trPr/>
        <w:tc>
          <w:tcPr>
            <w:tcW w:w="5265" w:type="dxa"/>
            <w:tcBorders>
              <w:left w:val="single" w:sz="2" w:space="0" w:color="000000"/>
              <w:bottom w:val="single" w:sz="2" w:space="0" w:color="000000"/>
              <w:insideH w:val="single" w:sz="2" w:space="0" w:color="000000"/>
            </w:tcBorders>
            <w:shd w:fill="auto" w:val="clear"/>
          </w:tcPr>
          <w:p>
            <w:pPr>
              <w:pStyle w:val="Contenutotabella"/>
              <w:jc w:val="left"/>
              <w:rPr/>
            </w:pPr>
            <w:r>
              <w:rPr/>
              <w:t>ELASTICITA’ IMPIEGHI</w:t>
            </w:r>
          </w:p>
        </w:tc>
        <w:tc>
          <w:tcPr>
            <w:tcW w:w="2325" w:type="dxa"/>
            <w:tcBorders>
              <w:left w:val="single" w:sz="2" w:space="0" w:color="000000"/>
              <w:bottom w:val="single" w:sz="2" w:space="0" w:color="000000"/>
              <w:insideH w:val="single" w:sz="2" w:space="0" w:color="000000"/>
            </w:tcBorders>
            <w:shd w:fill="auto" w:val="clear"/>
          </w:tcPr>
          <w:p>
            <w:pPr>
              <w:pStyle w:val="Contenutotabella"/>
              <w:jc w:val="center"/>
              <w:rPr/>
            </w:pPr>
            <w:r>
              <w:rPr/>
              <w:t>123,98%</w:t>
            </w:r>
          </w:p>
        </w:tc>
        <w:tc>
          <w:tcPr>
            <w:tcW w:w="20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center"/>
              <w:rPr/>
            </w:pPr>
            <w:r>
              <w:rPr/>
              <w:t>74,65%</w:t>
            </w:r>
          </w:p>
        </w:tc>
      </w:tr>
      <w:tr>
        <w:trPr/>
        <w:tc>
          <w:tcPr>
            <w:tcW w:w="5265" w:type="dxa"/>
            <w:tcBorders>
              <w:left w:val="single" w:sz="2" w:space="0" w:color="000000"/>
              <w:bottom w:val="single" w:sz="2" w:space="0" w:color="000000"/>
              <w:insideH w:val="single" w:sz="2" w:space="0" w:color="000000"/>
            </w:tcBorders>
            <w:shd w:fill="auto" w:val="clear"/>
          </w:tcPr>
          <w:p>
            <w:pPr>
              <w:pStyle w:val="Contenutotabella"/>
              <w:jc w:val="left"/>
              <w:rPr/>
            </w:pPr>
            <w:r>
              <w:rPr/>
              <w:t>INDIPENDENZA FINANZIARIA</w:t>
            </w:r>
          </w:p>
        </w:tc>
        <w:tc>
          <w:tcPr>
            <w:tcW w:w="2325" w:type="dxa"/>
            <w:tcBorders>
              <w:left w:val="single" w:sz="2" w:space="0" w:color="000000"/>
              <w:bottom w:val="single" w:sz="2" w:space="0" w:color="000000"/>
              <w:insideH w:val="single" w:sz="2" w:space="0" w:color="000000"/>
            </w:tcBorders>
            <w:shd w:fill="auto" w:val="clear"/>
          </w:tcPr>
          <w:p>
            <w:pPr>
              <w:pStyle w:val="Contenutotabella"/>
              <w:jc w:val="center"/>
              <w:rPr/>
            </w:pPr>
            <w:r>
              <w:rPr/>
              <w:t>47,13%</w:t>
            </w:r>
          </w:p>
        </w:tc>
        <w:tc>
          <w:tcPr>
            <w:tcW w:w="20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center"/>
              <w:rPr/>
            </w:pPr>
            <w:r>
              <w:rPr/>
              <w:t>61,19%</w:t>
            </w:r>
          </w:p>
        </w:tc>
      </w:tr>
      <w:tr>
        <w:trPr/>
        <w:tc>
          <w:tcPr>
            <w:tcW w:w="5265" w:type="dxa"/>
            <w:tcBorders>
              <w:left w:val="single" w:sz="2" w:space="0" w:color="000000"/>
              <w:bottom w:val="single" w:sz="2" w:space="0" w:color="000000"/>
              <w:insideH w:val="single" w:sz="2" w:space="0" w:color="000000"/>
            </w:tcBorders>
            <w:shd w:fill="auto" w:val="clear"/>
          </w:tcPr>
          <w:p>
            <w:pPr>
              <w:pStyle w:val="Contenutotabella"/>
              <w:jc w:val="left"/>
              <w:rPr/>
            </w:pPr>
            <w:r>
              <w:rPr/>
              <w:t>AUTOCOPERTURA IMMOBILIZZAZIONI</w:t>
            </w:r>
          </w:p>
        </w:tc>
        <w:tc>
          <w:tcPr>
            <w:tcW w:w="2325" w:type="dxa"/>
            <w:tcBorders>
              <w:left w:val="single" w:sz="2" w:space="0" w:color="000000"/>
              <w:bottom w:val="single" w:sz="2" w:space="0" w:color="000000"/>
              <w:insideH w:val="single" w:sz="2" w:space="0" w:color="000000"/>
            </w:tcBorders>
            <w:shd w:fill="auto" w:val="clear"/>
          </w:tcPr>
          <w:p>
            <w:pPr>
              <w:pStyle w:val="Contenutotabella"/>
              <w:jc w:val="center"/>
              <w:rPr/>
            </w:pPr>
            <w:r>
              <w:rPr/>
              <w:t>1,13</w:t>
            </w:r>
          </w:p>
        </w:tc>
        <w:tc>
          <w:tcPr>
            <w:tcW w:w="20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center"/>
              <w:rPr/>
            </w:pPr>
            <w:r>
              <w:rPr/>
              <w:t>1,13</w:t>
            </w:r>
          </w:p>
        </w:tc>
      </w:tr>
      <w:tr>
        <w:trPr/>
        <w:tc>
          <w:tcPr>
            <w:tcW w:w="5265" w:type="dxa"/>
            <w:tcBorders>
              <w:left w:val="single" w:sz="2" w:space="0" w:color="000000"/>
              <w:bottom w:val="single" w:sz="2" w:space="0" w:color="000000"/>
              <w:insideH w:val="single" w:sz="2" w:space="0" w:color="000000"/>
            </w:tcBorders>
            <w:shd w:fill="auto" w:val="clear"/>
          </w:tcPr>
          <w:p>
            <w:pPr>
              <w:pStyle w:val="Contenutotabella"/>
              <w:jc w:val="left"/>
              <w:rPr/>
            </w:pPr>
            <w:r>
              <w:rPr/>
              <w:t>LIQUIDITÀ</w:t>
            </w:r>
          </w:p>
        </w:tc>
        <w:tc>
          <w:tcPr>
            <w:tcW w:w="2325" w:type="dxa"/>
            <w:tcBorders>
              <w:left w:val="single" w:sz="2" w:space="0" w:color="000000"/>
              <w:bottom w:val="single" w:sz="2" w:space="0" w:color="000000"/>
              <w:insideH w:val="single" w:sz="2" w:space="0" w:color="000000"/>
            </w:tcBorders>
            <w:shd w:fill="auto" w:val="clear"/>
          </w:tcPr>
          <w:p>
            <w:pPr>
              <w:pStyle w:val="Contenutotabella"/>
              <w:jc w:val="center"/>
              <w:rPr/>
            </w:pPr>
            <w:r>
              <w:rPr/>
              <w:t>0,78</w:t>
            </w:r>
          </w:p>
        </w:tc>
        <w:tc>
          <w:tcPr>
            <w:tcW w:w="20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center"/>
              <w:rPr/>
            </w:pPr>
            <w:r>
              <w:rPr/>
              <w:t>0,99</w:t>
            </w:r>
          </w:p>
        </w:tc>
      </w:tr>
    </w:tbl>
    <w:p>
      <w:pPr>
        <w:pStyle w:val="Normal"/>
        <w:jc w:val="center"/>
        <w:rPr/>
      </w:pPr>
      <w:r>
        <w:rPr/>
      </w:r>
    </w:p>
    <w:p>
      <w:pPr>
        <w:pStyle w:val="Normal"/>
        <w:jc w:val="center"/>
        <w:rPr/>
      </w:pPr>
      <w:r>
        <w:rPr/>
        <w:t>ANALISI DEL RISCHIO</w:t>
      </w:r>
    </w:p>
    <w:p>
      <w:pPr>
        <w:pStyle w:val="Normal"/>
        <w:jc w:val="left"/>
        <w:rPr/>
      </w:pPr>
      <w:r>
        <w:rPr/>
        <w:t>La società, pur di fronte ad una momentanea riduzione del fatturato, anche considerato l’evento negativo subito nel 2014, ha una struttura patrimoniale solida ed equilibrata, e pertanto, nel medio termine, non si intravedono rischi di natura patrimoniale o finanziaria.</w:t>
      </w:r>
    </w:p>
    <w:p>
      <w:pPr>
        <w:pStyle w:val="Normal"/>
        <w:jc w:val="left"/>
        <w:rPr/>
      </w:pPr>
      <w:r>
        <w:rPr/>
        <w:t>Dal alto economico, il mercato appare stabile e pertanto non si prospettano sensibili cambiamenti su prezzi e livelli di concorrenza.</w:t>
      </w:r>
    </w:p>
    <w:p>
      <w:pPr>
        <w:pStyle w:val="Normal"/>
        <w:jc w:val="left"/>
        <w:rPr/>
      </w:pPr>
      <w:r>
        <w:rPr/>
      </w:r>
    </w:p>
    <w:p>
      <w:pPr>
        <w:pStyle w:val="Normal"/>
        <w:jc w:val="left"/>
        <w:rPr/>
      </w:pPr>
      <w:r>
        <w:rPr/>
      </w:r>
    </w:p>
    <w:p>
      <w:pPr>
        <w:pStyle w:val="Normal"/>
        <w:rPr/>
      </w:pPr>
      <w:r>
        <w:rPr/>
        <w:t>Venezia, 15 marzo 2014</w:t>
        <w:tab/>
        <w:tab/>
        <w:tab/>
        <w:tab/>
        <w:tab/>
        <w:t>l’Amministratore Unico</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Contenutotabella">
    <w:name w:val="Contenuto tabel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emf"/><Relationship Id="rId4" Type="http://schemas.openxmlformats.org/officeDocument/2006/relationships/package" Target="embeddings/oleObject2.xlsx"/><Relationship Id="rId5" Type="http://schemas.openxmlformats.org/officeDocument/2006/relationships/image" Target="media/image2.emf"/><Relationship Id="rId6" Type="http://schemas.openxmlformats.org/officeDocument/2006/relationships/package" Target="embeddings/oleObject3.xlsx"/><Relationship Id="rId7" Type="http://schemas.openxmlformats.org/officeDocument/2006/relationships/image" Target="media/image3.emf"/><Relationship Id="rId8" Type="http://schemas.openxmlformats.org/officeDocument/2006/relationships/package" Target="embeddings/oleObject4.xlsx"/><Relationship Id="rId9" Type="http://schemas.openxmlformats.org/officeDocument/2006/relationships/image" Target="media/image4.emf"/><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LibreOffice/6.0.7.3$Linux_X86_64 LibreOffice_project/00m0$Build-3</Application>
  <Pages>7</Pages>
  <Words>455</Words>
  <Characters>2669</Characters>
  <CharactersWithSpaces>3041</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2020-08-31T08:59:27Z</dcterms:created>
  <dc:creator/>
  <dc:description/>
  <dc:language>it-IT</dc:language>
  <cp:lastModifiedBy/>
  <dcterms:modified xsi:type="dcterms:W3CDTF">2020-08-31T17:25:18Z</dcterms:modified>
  <cp:revision>7</cp:revision>
  <dc:subject/>
  <dc:title/>
</cp:coreProperties>
</file>